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spacing w:before="480" w:lineRule="auto"/>
        <w:ind w:left="0"/>
        <w:jc w:val="center"/>
        <w:rPr>
          <w:sz w:val="38"/>
          <w:szCs w:val="38"/>
        </w:rPr>
      </w:pPr>
      <w:bookmarkStart w:colFirst="0" w:colLast="0" w:name="_nge7e1pc3tyi" w:id="0"/>
      <w:bookmarkEnd w:id="0"/>
      <w:r w:rsidDel="00000000" w:rsidR="00000000" w:rsidRPr="00000000">
        <w:rPr>
          <w:sz w:val="38"/>
          <w:szCs w:val="38"/>
          <w:rtl w:val="0"/>
        </w:rPr>
        <w:t xml:space="preserve">CONVENTION DE PARTENARIAT OPÉRATIONNEL ET FINANCIER RELATIVE À L’INSTALLATION ET LA GESTION D’AIRES D’ARRÊT ÉQUIPÉES POUR CYCLISTES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p7jahbbly9qa" w:id="1"/>
      <w:bookmarkEnd w:id="1"/>
      <w:r w:rsidDel="00000000" w:rsidR="00000000" w:rsidRPr="00000000">
        <w:rPr>
          <w:sz w:val="26"/>
          <w:szCs w:val="26"/>
          <w:rtl w:val="0"/>
        </w:rPr>
        <w:t xml:space="preserve">Entre :</w:t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 Département du Var dont le siège est situé Hôtel du Département 390, Avenue des Lices, CS 41303- 83076 TOULON Cédex représenté par le président du Conseil départemental, Monsieur Jean-Louis MASSON agissant en vertu de la délibération de la Commission permanente du Conseil départemental du Var n°……………………en date du …………….</w:t>
      </w:r>
    </w:p>
    <w:p w:rsidR="00000000" w:rsidDel="00000000" w:rsidP="00000000" w:rsidRDefault="00000000" w:rsidRPr="00000000" w14:paraId="00000006">
      <w:pPr>
        <w:widowControl w:val="1"/>
        <w:shd w:fill="ffffff" w:val="clear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 Président du Conseil départemental est représenté par Madame/Monsieur, Xème vice-président(e)/ conseiller(e) départemental(e) et président(e) de la commission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XXX </w:t>
      </w:r>
      <w:r w:rsidDel="00000000" w:rsidR="00000000" w:rsidRPr="00000000">
        <w:rPr>
          <w:sz w:val="22"/>
          <w:szCs w:val="22"/>
          <w:rtl w:val="0"/>
        </w:rPr>
        <w:t xml:space="preserve">agissant en vertu de l’arrêté de délégation de fonction et de signature n° AR 2022-1813 du 18 novembre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ET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Commune de [Nom] / l’Établissement Public de Coopération Intercommunale [Nom], représenté(e) par [Nom, Prénom, fonction], dûment habilité(e) à l’effet des présentes, ci-après dénommé(e)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« la Collectivité »</w:t>
      </w:r>
      <w:r w:rsidDel="00000000" w:rsidR="00000000" w:rsidRPr="00000000">
        <w:rPr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Ensemble dénommés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« les Parties »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7chznbxcwduk" w:id="2"/>
      <w:bookmarkEnd w:id="2"/>
      <w:r w:rsidDel="00000000" w:rsidR="00000000" w:rsidRPr="00000000">
        <w:rPr>
          <w:sz w:val="34"/>
          <w:szCs w:val="34"/>
          <w:rtl w:val="0"/>
        </w:rPr>
        <w:t xml:space="preserve">Préambule :</w:t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Dans le cadre du Plan Vélo départemental 2023-2027, et plus particulièrement de son action 21 visant au développement d’un réseau d’aires d’arrêt équipées le long des grands itinéraires cyclables, le Département du Var souhaite co-construire avec les communes et EPCI un dispositif favorisant l’accueil, la sécurité et le confort des cyclistes.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À cette fin, le Département du Var a lancé un appel à projets visant à créer ces aires d’arrêts en partenariat avec les communes et/ou EPCI qui seront intéressées par l'installation de ces équipements sur leur territoire.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aires d’arrêt sont soit des haltes-repos ou des aires de service.</w:t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Aire de services </w:t>
      </w:r>
      <w:r w:rsidDel="00000000" w:rsidR="00000000" w:rsidRPr="00000000">
        <w:rPr>
          <w:sz w:val="22"/>
          <w:szCs w:val="22"/>
          <w:rtl w:val="0"/>
        </w:rPr>
        <w:t xml:space="preserve">: l’aire de services est le niveau le plus pourvu en équipements et subvient à tous les besoins des usagers. Elle est située de préférence à proximité de lieux permettant le ravitaillement ou des visites touristiques et dans un cadre agréable, propice à une pause. De préférence porte d’entrée ou de sortie de l’itinéraire, elle est située en centre-ville avec des commerces, restaurants et hébergements.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Halte-repos :</w:t>
      </w:r>
      <w:r w:rsidDel="00000000" w:rsidR="00000000" w:rsidRPr="00000000">
        <w:rPr>
          <w:sz w:val="22"/>
          <w:szCs w:val="22"/>
          <w:rtl w:val="0"/>
        </w:rPr>
        <w:t xml:space="preserve"> la halte-repos est une zone permettant une courte halte et éventuellement la mise à disposition d’informations sur le territoire traversé. C’est un lieu propice à une pause pour le repos ou le pique-nique. Elle est de préférence positionnée à proximité de services marchands et dans un cadre agréable.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Dans le cadre de cette consultation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,la Commune de [Nom] / l’Établissement Public de Coopération Intercommunale [Nom]</w:t>
      </w:r>
      <w:r w:rsidDel="00000000" w:rsidR="00000000" w:rsidRPr="00000000">
        <w:rPr>
          <w:sz w:val="22"/>
          <w:szCs w:val="22"/>
          <w:rtl w:val="0"/>
        </w:rPr>
        <w:t xml:space="preserve"> a proposé un projet d’aire d’arrêt en faveur des cyclistes sur son territoire au lieu dit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 XXXX</w:t>
      </w:r>
      <w:r w:rsidDel="00000000" w:rsidR="00000000" w:rsidRPr="00000000">
        <w:rPr>
          <w:sz w:val="22"/>
          <w:szCs w:val="22"/>
          <w:rtl w:val="0"/>
        </w:rPr>
        <w:t xml:space="preserve"> à proximité de la piste cyclable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XXXXXXX 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Cette proposition, au vu de ses caractéristiques, a été retenue.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présente convention a pour objet de définir les conditions d’installation, de gestion et de pérennisation de cette  aire d’arrêt, ainsi que les obligations respectives des Parties.</w:t>
      </w:r>
    </w:p>
    <w:p w:rsidR="00000000" w:rsidDel="00000000" w:rsidP="00000000" w:rsidRDefault="00000000" w:rsidRPr="00000000" w14:paraId="00000018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no1c0bg398rq" w:id="3"/>
      <w:bookmarkEnd w:id="3"/>
      <w:r w:rsidDel="00000000" w:rsidR="00000000" w:rsidRPr="00000000">
        <w:rPr>
          <w:sz w:val="34"/>
          <w:szCs w:val="34"/>
          <w:rtl w:val="0"/>
        </w:rPr>
        <w:t xml:space="preserve">Article 1 – Objet de la convention :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présente convention a pour objet de formaliser  :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mise en place par 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Département du Var </w:t>
      </w:r>
      <w:r w:rsidDel="00000000" w:rsidR="00000000" w:rsidRPr="00000000">
        <w:rPr>
          <w:sz w:val="22"/>
          <w:szCs w:val="22"/>
          <w:rtl w:val="0"/>
        </w:rPr>
        <w:t xml:space="preserve">d’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aire d'arrêt équipée sur un terrain cadastré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(section et parcelle)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</w:t>
      </w:r>
      <w:r w:rsidDel="00000000" w:rsidR="00000000" w:rsidRPr="00000000">
        <w:rPr>
          <w:sz w:val="22"/>
          <w:szCs w:val="22"/>
          <w:rtl w:val="0"/>
        </w:rPr>
        <w:t xml:space="preserve">eu dit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XXXXX</w:t>
      </w:r>
      <w:r w:rsidDel="00000000" w:rsidR="00000000" w:rsidRPr="00000000">
        <w:rPr>
          <w:sz w:val="22"/>
          <w:szCs w:val="22"/>
          <w:rtl w:val="0"/>
        </w:rPr>
        <w:t xml:space="preserve">  d’une superficie de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XXX m²</w:t>
      </w:r>
      <w:r w:rsidDel="00000000" w:rsidR="00000000" w:rsidRPr="00000000">
        <w:rPr>
          <w:sz w:val="22"/>
          <w:szCs w:val="22"/>
          <w:rtl w:val="0"/>
        </w:rPr>
        <w:t xml:space="preserve"> propriété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commune de XXXXX ou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l'EPCI XXXX</w:t>
      </w:r>
      <w:r w:rsidDel="00000000" w:rsidR="00000000" w:rsidRPr="00000000">
        <w:rPr>
          <w:sz w:val="22"/>
          <w:szCs w:val="22"/>
          <w:rtl w:val="0"/>
        </w:rPr>
        <w:t xml:space="preserve"> et l</w:t>
      </w:r>
      <w:r w:rsidDel="00000000" w:rsidR="00000000" w:rsidRPr="00000000">
        <w:rPr>
          <w:sz w:val="22"/>
          <w:szCs w:val="22"/>
          <w:rtl w:val="0"/>
        </w:rPr>
        <w:t xml:space="preserve">a définition 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engagements mutuels des Parties concernant</w:t>
      </w:r>
      <w:r w:rsidDel="00000000" w:rsidR="00000000" w:rsidRPr="00000000">
        <w:rPr>
          <w:sz w:val="22"/>
          <w:szCs w:val="22"/>
          <w:rtl w:val="0"/>
        </w:rPr>
        <w:t xml:space="preserve"> le financement,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aménagement, l'entretien, la valorisation et la pérennité des équipements installés.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35oy9xkgsa2h" w:id="4"/>
      <w:bookmarkEnd w:id="4"/>
      <w:r w:rsidDel="00000000" w:rsidR="00000000" w:rsidRPr="00000000">
        <w:rPr>
          <w:sz w:val="34"/>
          <w:szCs w:val="34"/>
          <w:rtl w:val="0"/>
        </w:rPr>
        <w:t xml:space="preserve">Article 2 – Description des aménagements :</w:t>
      </w:r>
    </w:p>
    <w:p w:rsidR="00000000" w:rsidDel="00000000" w:rsidP="00000000" w:rsidRDefault="00000000" w:rsidRPr="00000000" w14:paraId="0000001F">
      <w:pPr>
        <w:spacing w:after="80" w:before="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aires d’arrêt équipées comprennent, en tout ou partie, les éléments suivants, fournis et installés par le Département : tables de pique-nique, bancs, poubelles, arceaux ou dispositifs de stationnement vélos, station d’auto-réparation et d’entretien, station de gonflage, relais d’information services, borne de recharge pour vélos à assistance électrique (VAE), sous réserve de raccordement électrique adapté.</w:t>
        <w:br w:type="textWrapping"/>
        <w:t xml:space="preserve">L’implantation précise et la composition de l’aire sont définies d’un commun accord entre les Parties, en fonction du foncier mis à disposition et des contraintes techniques.</w:t>
      </w:r>
    </w:p>
    <w:p w:rsidR="00000000" w:rsidDel="00000000" w:rsidP="00000000" w:rsidRDefault="00000000" w:rsidRPr="00000000" w14:paraId="00000020">
      <w:pPr>
        <w:spacing w:after="80" w:before="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80" w:lineRule="auto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L’aire d’arrêt objet de la présente convention sera composée des équipements suivants définies d’un commun accord entre les Parties :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 lister les équipements </w:t>
      </w:r>
    </w:p>
    <w:p w:rsidR="00000000" w:rsidDel="00000000" w:rsidP="00000000" w:rsidRDefault="00000000" w:rsidRPr="00000000" w14:paraId="00000022">
      <w:pPr>
        <w:spacing w:after="80" w:before="80" w:lineRule="auto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L’aire d’arrêt exposée ci dessus est une halte repos ou une aire de service (au choix au moment de la rédaction de la convention)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cflzy599581d" w:id="5"/>
      <w:bookmarkEnd w:id="5"/>
      <w:r w:rsidDel="00000000" w:rsidR="00000000" w:rsidRPr="00000000">
        <w:rPr>
          <w:sz w:val="34"/>
          <w:szCs w:val="34"/>
          <w:rtl w:val="0"/>
        </w:rPr>
        <w:t xml:space="preserve">Article 3 – Engagements de la Collectivité 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Collectivité s’engage à 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Mettre à disposition le foncier nécessaire à titre gratuit,</w:t>
      </w:r>
      <w:r w:rsidDel="00000000" w:rsidR="00000000" w:rsidRPr="00000000">
        <w:rPr>
          <w:sz w:val="22"/>
          <w:szCs w:val="22"/>
          <w:rtl w:val="0"/>
        </w:rPr>
        <w:t xml:space="preserve"> dont elle garantit la pleine propriété et la disponibilité juridique pour l’aménagement ;</w:t>
      </w:r>
    </w:p>
    <w:p w:rsidR="00000000" w:rsidDel="00000000" w:rsidP="00000000" w:rsidRDefault="00000000" w:rsidRPr="00000000" w14:paraId="00000028">
      <w:pPr>
        <w:spacing w:after="0" w:before="0" w:lineRule="auto"/>
        <w:ind w:left="720" w:firstLine="0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La localisation précise de ce foncier est la suivante : Commune de XXXX -  N° de parcelle - N° de section - superficie XXXX m²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Ce terrain doit être plat et dur, il doit avoir fait l’objet d’un minimum d’aménagement sommaire afin de pouvoir accueillir les équipements.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Faciliter les raccordements</w:t>
      </w:r>
      <w:r w:rsidDel="00000000" w:rsidR="00000000" w:rsidRPr="00000000">
        <w:rPr>
          <w:sz w:val="22"/>
          <w:szCs w:val="22"/>
          <w:rtl w:val="0"/>
        </w:rPr>
        <w:t xml:space="preserve"> aux réseaux nécessaires (notamment électrique pour les bornes de recharge), en signalant leur présence et en assurant la faisabilité technique 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Prendre en charge une partie des équipements et des travaux si le coût du projet dépasse la somme de 30 000 € pour une aire de service ou de 5 000 e pour une halte repos.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Participer activement à la surveillance et à la coordination des travaux sur site en lien avec les services du Département.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Prendre en charge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les frais engendrés par les cyclistes pour l’utilisation d’une borne de recharge (abonnement et coût des consommations).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highlight w:val="yellow"/>
          <w:rtl w:val="0"/>
        </w:rPr>
        <w:t xml:space="preserve">En cas d'installation d’une borne de recharge pour vélo à assistance électrique  </w:t>
      </w: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Assurer l’entretien courant</w:t>
      </w:r>
      <w:r w:rsidDel="00000000" w:rsidR="00000000" w:rsidRPr="00000000">
        <w:rPr>
          <w:sz w:val="22"/>
          <w:szCs w:val="22"/>
          <w:rtl w:val="0"/>
        </w:rPr>
        <w:t xml:space="preserve"> des équipements (nettoyage, vidage des poubelles, réparations mineures, entretien des espaces verts alentours) ;</w:t>
        <w:br w:type="textWrapping"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Assurer la surveillance de proximité</w:t>
      </w:r>
      <w:r w:rsidDel="00000000" w:rsidR="00000000" w:rsidRPr="00000000">
        <w:rPr>
          <w:sz w:val="22"/>
          <w:szCs w:val="22"/>
          <w:rtl w:val="0"/>
        </w:rPr>
        <w:t xml:space="preserve"> afin de limiter les actes de vandalisme et d’usage inapproprié 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D’assurer les aménagements à partir de la date où ils entre dans le patrimoine de la collectivité,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Respecter les obligations de publicité</w:t>
      </w:r>
      <w:r w:rsidDel="00000000" w:rsidR="00000000" w:rsidRPr="00000000">
        <w:rPr>
          <w:sz w:val="22"/>
          <w:szCs w:val="22"/>
          <w:rtl w:val="0"/>
        </w:rPr>
        <w:t xml:space="preserve"> liées au cofinancement européen (FEDER), en particulier l’apposition des logos réglementaires sur site et dans ses communications.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1324ab8ueyqa" w:id="6"/>
      <w:bookmarkEnd w:id="6"/>
      <w:r w:rsidDel="00000000" w:rsidR="00000000" w:rsidRPr="00000000">
        <w:rPr>
          <w:sz w:val="34"/>
          <w:szCs w:val="34"/>
          <w:rtl w:val="0"/>
        </w:rPr>
        <w:t xml:space="preserve">Article 4 – Engagements du Département :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 Département s’engage à 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Fournir et installer les équipements</w:t>
      </w:r>
      <w:r w:rsidDel="00000000" w:rsidR="00000000" w:rsidRPr="00000000">
        <w:rPr>
          <w:sz w:val="22"/>
          <w:szCs w:val="22"/>
          <w:rtl w:val="0"/>
        </w:rPr>
        <w:t xml:space="preserve"> constitutifs de l’aire d’arrêt, listés dans l’article 2 de la présente convention. Ces équipements et aménagements sont valorisés à hauteur de 30 000 € pour une aire de service ou de 5 000 € pour une halte repos ;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Définir la liste des équipements et leur implantation</w:t>
      </w:r>
      <w:r w:rsidDel="00000000" w:rsidR="00000000" w:rsidRPr="00000000">
        <w:rPr>
          <w:sz w:val="22"/>
          <w:szCs w:val="22"/>
          <w:rtl w:val="0"/>
        </w:rPr>
        <w:t xml:space="preserve">, en concertation avec la Collectivité ;</w:t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Financer et réaliser les travaux de pose</w:t>
      </w:r>
      <w:r w:rsidDel="00000000" w:rsidR="00000000" w:rsidRPr="00000000">
        <w:rPr>
          <w:sz w:val="22"/>
          <w:szCs w:val="22"/>
          <w:rtl w:val="0"/>
        </w:rPr>
        <w:t xml:space="preserve"> des équipements sur le foncier mis à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disposition</w:t>
      </w:r>
      <w:r w:rsidDel="00000000" w:rsidR="00000000" w:rsidRPr="00000000">
        <w:rPr>
          <w:sz w:val="22"/>
          <w:szCs w:val="22"/>
          <w:rtl w:val="0"/>
        </w:rPr>
        <w:t xml:space="preserve"> ;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before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Participer avec la collectivité lauréate à la surveillance et à la coordination des travaux sur site,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before="20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d’Assurer les aménagements pendant la période ou ils sont propriété de la collectivité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before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Accompagner la Collectivité</w:t>
      </w:r>
      <w:r w:rsidDel="00000000" w:rsidR="00000000" w:rsidRPr="00000000">
        <w:rPr>
          <w:sz w:val="22"/>
          <w:szCs w:val="22"/>
          <w:rtl w:val="0"/>
        </w:rPr>
        <w:t xml:space="preserve"> dans la communication autour du projet et l’intégration de l’aire dans le réseau départemental ;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Assurer la coordination avec le FEDER</w:t>
      </w:r>
      <w:r w:rsidDel="00000000" w:rsidR="00000000" w:rsidRPr="00000000">
        <w:rPr>
          <w:sz w:val="22"/>
          <w:szCs w:val="22"/>
          <w:rtl w:val="0"/>
        </w:rPr>
        <w:t xml:space="preserve">, notamment pour la conformité aux obligations de publicité.</w:t>
        <w:br w:type="textWrapping"/>
      </w:r>
    </w:p>
    <w:p w:rsidR="00000000" w:rsidDel="00000000" w:rsidP="00000000" w:rsidRDefault="00000000" w:rsidRPr="00000000" w14:paraId="0000003C">
      <w:pPr>
        <w:spacing w:after="0" w:before="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Pour la fourniture des équipements et leur pose le Département conclut dans le respect des règles de la commande publique un marché à bons de commande.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c6krsa5nc6wq" w:id="7"/>
      <w:bookmarkEnd w:id="7"/>
      <w:r w:rsidDel="00000000" w:rsidR="00000000" w:rsidRPr="00000000">
        <w:rPr>
          <w:sz w:val="34"/>
          <w:szCs w:val="34"/>
          <w:rtl w:val="0"/>
        </w:rPr>
        <w:t xml:space="preserve">Article 5 – Propriété des équipements :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équipements installés demeurent la propriété du Département pendant une durée de la garantie des équipements installés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d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e [X ans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] à préciser</w:t>
      </w:r>
      <w:r w:rsidDel="00000000" w:rsidR="00000000" w:rsidRPr="00000000">
        <w:rPr>
          <w:sz w:val="22"/>
          <w:szCs w:val="22"/>
          <w:rtl w:val="0"/>
        </w:rPr>
        <w:t xml:space="preserve">. À l’issue de cette période et à compter de la date de leur amortissement comptable (soit YY années - valeur comptable de 00 € ) leur transfert à la Collectivité pourra être envisagé par avenant.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927ff4uncc" w:id="8"/>
      <w:bookmarkEnd w:id="8"/>
      <w:r w:rsidDel="00000000" w:rsidR="00000000" w:rsidRPr="00000000">
        <w:rPr>
          <w:sz w:val="34"/>
          <w:szCs w:val="34"/>
          <w:rtl w:val="0"/>
        </w:rPr>
        <w:t xml:space="preserve">Article 6 – Pérennité des aménagements :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Collectivité s’engage à maintenir les équipements installés en état de fonctionnement pendant une durée minimale de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[X années (années pendant lesquelles le Département est propriétaire + 5 ans] avec ou sans transfert de propriété,</w:t>
      </w:r>
      <w:r w:rsidDel="00000000" w:rsidR="00000000" w:rsidRPr="00000000">
        <w:rPr>
          <w:sz w:val="22"/>
          <w:szCs w:val="22"/>
          <w:rtl w:val="0"/>
        </w:rPr>
        <w:t xml:space="preserve"> sauf cas de force majeure dûment reconnu.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Ces équipements sont destinés, en priorité, à l'accueil des cyclotouristes, des randonneurs ou de tout autre administrés dans le cadre d’une utilisation paisible et conforme à leur objet.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aucun cas ces équipements ne doivent être déplacés sur un autre site sans un accord expresse du Département. </w:t>
      </w:r>
      <w:r w:rsidDel="00000000" w:rsidR="00000000" w:rsidRPr="00000000">
        <w:rPr>
          <w:sz w:val="22"/>
          <w:szCs w:val="22"/>
          <w:rtl w:val="0"/>
        </w:rPr>
        <w:t xml:space="preserve">Toute modification ou dépose des équipements devra faire l’objet d’un accord préalable du Département.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mukcsgvritvn" w:id="9"/>
      <w:bookmarkEnd w:id="9"/>
      <w:r w:rsidDel="00000000" w:rsidR="00000000" w:rsidRPr="00000000">
        <w:rPr>
          <w:sz w:val="34"/>
          <w:szCs w:val="34"/>
          <w:rtl w:val="0"/>
        </w:rPr>
        <w:t xml:space="preserve">Article 7 – Durée et renouvellement :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présente convention est conclue pour une durée de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[X années en cohérence avec la durée de l’article 6]</w:t>
      </w:r>
      <w:r w:rsidDel="00000000" w:rsidR="00000000" w:rsidRPr="00000000">
        <w:rPr>
          <w:sz w:val="22"/>
          <w:szCs w:val="22"/>
          <w:rtl w:val="0"/>
        </w:rPr>
        <w:t xml:space="preserve">, à compter de sa signature. Elle pourra être renouvelée par un avenant signé entre les parties, en application des dispositions de l’article 11 ci-après.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1a046kcid7w7" w:id="10"/>
      <w:bookmarkEnd w:id="10"/>
      <w:r w:rsidDel="00000000" w:rsidR="00000000" w:rsidRPr="00000000">
        <w:rPr>
          <w:sz w:val="34"/>
          <w:szCs w:val="34"/>
          <w:rtl w:val="0"/>
        </w:rPr>
        <w:t xml:space="preserve">Article 8 – Suivi et évaluation :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 comité de suivi associant les représentants des Parties sera mis en place afin de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contrôler la bonne exécution des obligations,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80" w:before="8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examiner les difficultés rencontrées,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80" w:before="8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évaluer l’usage et l’impact des aménagements,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80" w:before="8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proposer des améliorations.</w:t>
      </w:r>
    </w:p>
    <w:p w:rsidR="00000000" w:rsidDel="00000000" w:rsidP="00000000" w:rsidRDefault="00000000" w:rsidRPr="00000000" w14:paraId="0000004F">
      <w:pPr>
        <w:spacing w:after="80" w:before="8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uw0jjkfxf309" w:id="11"/>
      <w:bookmarkEnd w:id="11"/>
      <w:r w:rsidDel="00000000" w:rsidR="00000000" w:rsidRPr="00000000">
        <w:rPr>
          <w:sz w:val="34"/>
          <w:szCs w:val="34"/>
          <w:rtl w:val="0"/>
        </w:rPr>
        <w:t xml:space="preserve">Article 9 – Communication et valorisation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Par</w:t>
      </w:r>
      <w:r w:rsidDel="00000000" w:rsidR="00000000" w:rsidRPr="00000000">
        <w:rPr>
          <w:sz w:val="22"/>
          <w:szCs w:val="22"/>
          <w:rtl w:val="0"/>
        </w:rPr>
        <w:t xml:space="preserve">ties s’engagent à valoriser conjointement le projet, notamment par 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l’insertion des aires d’arrêt sur les cartes et supports d’information touristique,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 recensement et la géolocalisation des aires d’arrêt et la diffusion sur les bases de données mises à disposition des cyclistes et/ou des touristes,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l’intégration des aires sur le site internet du Département et, le cas échéant, sur une carte interactive,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mention du partenariat et l’insertion des règles de publicité européennes dans toute communication relative au projet.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ind w:left="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as7smpm97uux" w:id="12"/>
      <w:bookmarkEnd w:id="12"/>
      <w:r w:rsidDel="00000000" w:rsidR="00000000" w:rsidRPr="00000000">
        <w:rPr>
          <w:sz w:val="34"/>
          <w:szCs w:val="34"/>
          <w:rtl w:val="0"/>
        </w:rPr>
        <w:t xml:space="preserve">Article 10 – Litiges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cas de différend sur l’interprétation ou l’exécution de la présente convention, les Parties recherchent une solution amiable. À défaut, le litige sera porté devant </w:t>
      </w:r>
      <w:r w:rsidDel="00000000" w:rsidR="00000000" w:rsidRPr="00000000">
        <w:rPr>
          <w:sz w:val="22"/>
          <w:szCs w:val="22"/>
          <w:rtl w:val="0"/>
        </w:rPr>
        <w:t xml:space="preserve">le tribunal administratif de Toulon seul compétent pour trancher les litiges relatifs à l’interprétation ou à l’exécution de la présente convention.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Le tribunal administratif peut être saisi par l’application informatique « Télérecours citoyens » accessible par le site internet www.telerecours.fr.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spacing w:after="80" w:before="360" w:lineRule="auto"/>
        <w:ind w:left="0"/>
        <w:rPr>
          <w:sz w:val="34"/>
          <w:szCs w:val="34"/>
        </w:rPr>
      </w:pPr>
      <w:bookmarkStart w:colFirst="0" w:colLast="0" w:name="_ucsy1e1mlixb" w:id="13"/>
      <w:bookmarkEnd w:id="13"/>
      <w:r w:rsidDel="00000000" w:rsidR="00000000" w:rsidRPr="00000000">
        <w:rPr>
          <w:sz w:val="34"/>
          <w:szCs w:val="34"/>
          <w:rtl w:val="0"/>
        </w:rPr>
        <w:t xml:space="preserve">Article 11 – Dispositions finales</w:t>
      </w:r>
    </w:p>
    <w:p w:rsidR="00000000" w:rsidDel="00000000" w:rsidP="00000000" w:rsidRDefault="00000000" w:rsidRPr="00000000" w14:paraId="0000005D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présente convention peut être modifiée par avenant écrit signé des Parties.  Elle sera transmise pour information aux assemblées délibérantes compétentes.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n0s0lt32q8y0" w:id="14"/>
      <w:bookmarkEnd w:id="14"/>
      <w:r w:rsidDel="00000000" w:rsidR="00000000" w:rsidRPr="00000000">
        <w:rPr>
          <w:sz w:val="26"/>
          <w:szCs w:val="26"/>
          <w:rtl w:val="0"/>
        </w:rPr>
        <w:t xml:space="preserve">Fait à [Lieu], le [Date]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deux exemplaires originaux.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Pour le Département du Var</w:t>
        <w:br w:type="textWrapping"/>
      </w:r>
      <w:r w:rsidDel="00000000" w:rsidR="00000000" w:rsidRPr="00000000">
        <w:rPr>
          <w:rtl w:val="0"/>
        </w:rPr>
        <w:t xml:space="preserve"> [Nom, fonction, signature]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Pour la Commune / l’EPCI</w:t>
        <w:br w:type="textWrapping"/>
      </w:r>
      <w:r w:rsidDel="00000000" w:rsidR="00000000" w:rsidRPr="00000000">
        <w:rPr>
          <w:rtl w:val="0"/>
        </w:rPr>
        <w:t xml:space="preserve"> [Nom, fonction, signature]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240" w:lineRule="auto"/>
      <w:ind w:left="432" w:hanging="432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